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D1" w:rsidRPr="00DB3001" w:rsidRDefault="000C50D1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0C50D1" w:rsidRPr="00D158E0" w:rsidRDefault="000C50D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0C50D1" w:rsidRPr="00D158E0" w:rsidRDefault="000C50D1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</w:t>
      </w:r>
      <w:proofErr w:type="spellStart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ТеррНИИгражданпроект</w:t>
      </w:r>
      <w:proofErr w:type="spellEnd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C50D1" w:rsidRPr="00D158E0" w:rsidRDefault="000C50D1" w:rsidP="00A62A2E">
      <w:pPr>
        <w:ind w:left="708"/>
        <w:rPr>
          <w:rFonts w:ascii="Times New Roman" w:hAnsi="Times New Roman"/>
          <w:color w:val="000000"/>
        </w:rPr>
      </w:pPr>
    </w:p>
    <w:p w:rsidR="000C50D1" w:rsidRPr="00D158E0" w:rsidRDefault="000C50D1" w:rsidP="00A62A2E">
      <w:pPr>
        <w:ind w:left="708"/>
        <w:rPr>
          <w:rFonts w:ascii="Times New Roman" w:hAnsi="Times New Roman"/>
          <w:color w:val="000000"/>
        </w:rPr>
      </w:pPr>
    </w:p>
    <w:p w:rsidR="000C50D1" w:rsidRDefault="000C50D1" w:rsidP="00A62A2E">
      <w:pPr>
        <w:ind w:left="708"/>
        <w:rPr>
          <w:rFonts w:ascii="Times New Roman" w:hAnsi="Times New Roman"/>
          <w:color w:val="000000"/>
        </w:rPr>
      </w:pPr>
    </w:p>
    <w:p w:rsidR="00D17991" w:rsidRDefault="00D17991" w:rsidP="00A62A2E">
      <w:pPr>
        <w:ind w:left="708"/>
        <w:rPr>
          <w:rFonts w:ascii="Times New Roman" w:hAnsi="Times New Roman"/>
          <w:color w:val="000000"/>
        </w:rPr>
      </w:pPr>
    </w:p>
    <w:p w:rsidR="00D17991" w:rsidRDefault="00D17991" w:rsidP="00A62A2E">
      <w:pPr>
        <w:ind w:left="708"/>
        <w:rPr>
          <w:rFonts w:ascii="Times New Roman" w:hAnsi="Times New Roman"/>
          <w:color w:val="000000"/>
        </w:rPr>
      </w:pPr>
    </w:p>
    <w:p w:rsidR="00D17991" w:rsidRDefault="00D17991" w:rsidP="00A62A2E">
      <w:pPr>
        <w:ind w:left="708"/>
        <w:rPr>
          <w:rFonts w:ascii="Times New Roman" w:hAnsi="Times New Roman"/>
          <w:color w:val="000000"/>
        </w:rPr>
      </w:pPr>
    </w:p>
    <w:p w:rsidR="00D17991" w:rsidRPr="00D158E0" w:rsidRDefault="00D17991" w:rsidP="00A62A2E">
      <w:pPr>
        <w:ind w:left="708"/>
        <w:rPr>
          <w:rFonts w:ascii="Times New Roman" w:hAnsi="Times New Roman"/>
          <w:color w:val="000000"/>
        </w:rPr>
      </w:pPr>
    </w:p>
    <w:p w:rsidR="000C50D1" w:rsidRPr="00D158E0" w:rsidRDefault="000C50D1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0C50D1" w:rsidRPr="00D158E0" w:rsidRDefault="000C50D1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0C50D1" w:rsidRPr="00D158E0" w:rsidRDefault="000C50D1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0C50D1" w:rsidRPr="00D158E0" w:rsidRDefault="000C50D1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0C50D1" w:rsidRPr="00D158E0" w:rsidRDefault="000C50D1" w:rsidP="00A62A2E">
      <w:pPr>
        <w:rPr>
          <w:rFonts w:ascii="Times New Roman" w:hAnsi="Times New Roman"/>
          <w:color w:val="000000"/>
        </w:rPr>
      </w:pPr>
    </w:p>
    <w:p w:rsidR="000C50D1" w:rsidRDefault="000C50D1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0C50D1" w:rsidRPr="00D158E0" w:rsidRDefault="000C50D1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F4016F">
        <w:rPr>
          <w:rFonts w:ascii="Times New Roman" w:hAnsi="Times New Roman"/>
          <w:b/>
          <w:noProof/>
          <w:color w:val="000000"/>
          <w:sz w:val="36"/>
          <w:szCs w:val="36"/>
        </w:rPr>
        <w:t>Просвет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0C50D1" w:rsidRPr="00D158E0" w:rsidRDefault="000C50D1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F4016F">
        <w:rPr>
          <w:rFonts w:ascii="Times New Roman" w:hAnsi="Times New Roman"/>
          <w:b/>
          <w:noProof/>
          <w:color w:val="000000"/>
          <w:sz w:val="36"/>
          <w:szCs w:val="36"/>
        </w:rPr>
        <w:t>Волжский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0C50D1" w:rsidRPr="00D158E0" w:rsidRDefault="000C50D1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0C50D1" w:rsidRPr="00D158E0" w:rsidRDefault="000C50D1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0C50D1" w:rsidRPr="00D158E0" w:rsidRDefault="000C50D1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0C50D1" w:rsidRPr="00D158E0" w:rsidRDefault="000C50D1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F4016F">
        <w:rPr>
          <w:rFonts w:ascii="Times New Roman" w:hAnsi="Times New Roman"/>
          <w:b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C50D1" w:rsidRPr="00EA752F" w:rsidRDefault="000C50D1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16F">
        <w:rPr>
          <w:rFonts w:ascii="Times New Roman" w:hAnsi="Times New Roman"/>
          <w:b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0C50D1" w:rsidRPr="00EA752F" w:rsidRDefault="000C50D1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0C50D1" w:rsidRPr="00D158E0" w:rsidRDefault="000C50D1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0C50D1" w:rsidRPr="00D158E0" w:rsidRDefault="000C50D1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0C50D1" w:rsidRPr="00D158E0" w:rsidRDefault="000C50D1" w:rsidP="00A62A2E">
      <w:pPr>
        <w:ind w:left="708"/>
        <w:rPr>
          <w:rFonts w:ascii="Times New Roman" w:hAnsi="Times New Roman"/>
          <w:color w:val="000000"/>
        </w:rPr>
      </w:pPr>
    </w:p>
    <w:p w:rsidR="000C50D1" w:rsidRDefault="000C50D1" w:rsidP="00A62A2E">
      <w:pPr>
        <w:ind w:left="708"/>
        <w:rPr>
          <w:rFonts w:ascii="Times New Roman" w:hAnsi="Times New Roman"/>
          <w:color w:val="000000"/>
        </w:rPr>
      </w:pPr>
    </w:p>
    <w:p w:rsidR="000C50D1" w:rsidRPr="00D158E0" w:rsidRDefault="000C50D1" w:rsidP="00A62A2E">
      <w:pPr>
        <w:ind w:left="708"/>
        <w:rPr>
          <w:rFonts w:ascii="Times New Roman" w:hAnsi="Times New Roman"/>
          <w:color w:val="000000"/>
        </w:rPr>
      </w:pPr>
    </w:p>
    <w:p w:rsidR="000C50D1" w:rsidRDefault="000C50D1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C50D1" w:rsidRDefault="000C50D1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0C50D1" w:rsidRDefault="000C50D1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0C50D1" w:rsidRDefault="000C50D1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0C50D1" w:rsidRPr="00D158E0" w:rsidRDefault="000C50D1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0C50D1" w:rsidRDefault="000C50D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50D1" w:rsidRDefault="000C50D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50D1" w:rsidRDefault="000C50D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50D1" w:rsidRDefault="000C50D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50D1" w:rsidRDefault="000C50D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50D1" w:rsidRPr="00AE686A" w:rsidRDefault="000C50D1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0C50D1" w:rsidRPr="00AE686A" w:rsidRDefault="000C50D1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0C50D1" w:rsidRPr="00AE686A" w:rsidRDefault="000C50D1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0C50D1" w:rsidRPr="00AE686A" w:rsidRDefault="000C50D1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0C50D1" w:rsidRPr="00AE686A" w:rsidRDefault="000C50D1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0C50D1" w:rsidRPr="00D158E0" w:rsidRDefault="000C50D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0C50D1" w:rsidRPr="00D158E0" w:rsidSect="000C50D1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0C50D1" w:rsidRPr="00D158E0" w:rsidRDefault="000C50D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0C50D1" w:rsidRPr="00D158E0" w:rsidRDefault="000C50D1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0C50D1" w:rsidRPr="00D158E0" w:rsidRDefault="000C50D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F4016F">
        <w:rPr>
          <w:noProof/>
          <w:color w:val="000000"/>
          <w:sz w:val="28"/>
          <w:szCs w:val="28"/>
        </w:rPr>
        <w:t>Просвет</w:t>
      </w:r>
      <w:r>
        <w:rPr>
          <w:color w:val="000000"/>
          <w:sz w:val="28"/>
          <w:szCs w:val="28"/>
        </w:rPr>
        <w:t xml:space="preserve"> </w:t>
      </w:r>
    </w:p>
    <w:p w:rsidR="000C50D1" w:rsidRPr="00D158E0" w:rsidRDefault="000C50D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F4016F">
        <w:rPr>
          <w:noProof/>
          <w:color w:val="000000"/>
          <w:sz w:val="28"/>
          <w:szCs w:val="28"/>
        </w:rPr>
        <w:t>Волжский</w:t>
      </w:r>
    </w:p>
    <w:p w:rsidR="000C50D1" w:rsidRPr="00D158E0" w:rsidRDefault="000C50D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0C50D1" w:rsidRPr="00D158E0" w:rsidRDefault="000C50D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50D1" w:rsidRPr="00D158E0" w:rsidRDefault="000C50D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0C50D1" w:rsidRPr="00D158E0" w:rsidRDefault="000C50D1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1.5. При подготовке Генерального плана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>учтены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>: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t xml:space="preserve">- Схема территориального планирования 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</w:t>
      </w: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представителей 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731 от 13.07.2009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0C50D1" w:rsidRPr="00AE686A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0C50D1" w:rsidRPr="00AE686A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0C50D1" w:rsidRPr="00AE686A" w:rsidRDefault="000C50D1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0C50D1" w:rsidRPr="00D158E0" w:rsidRDefault="000C50D1" w:rsidP="00CA3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0C50D1" w:rsidRPr="00AE686A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0C50D1" w:rsidRPr="004B3AB9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  <w:proofErr w:type="gramEnd"/>
    </w:p>
    <w:p w:rsidR="000C50D1" w:rsidRPr="00C10C56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0C50D1" w:rsidRPr="00AE686A" w:rsidRDefault="000C50D1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- карту планируемого размещения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50D1" w:rsidRPr="00D158E0" w:rsidRDefault="000C50D1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</w:t>
      </w:r>
      <w:proofErr w:type="gramStart"/>
      <w:r w:rsidRPr="00AE686A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E6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50D1" w:rsidRDefault="000C50D1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и оказывают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 xml:space="preserve">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50D1" w:rsidRDefault="000C50D1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lastRenderedPageBreak/>
        <w:t xml:space="preserve">функциональных зон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0C50D1" w:rsidRDefault="000C50D1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  <w:proofErr w:type="gramEnd"/>
    </w:p>
    <w:p w:rsidR="000C50D1" w:rsidRPr="00D158E0" w:rsidRDefault="000C50D1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 xml:space="preserve"> Указанные мероприятия могут включать: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0C50D1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  <w:proofErr w:type="gramEnd"/>
    </w:p>
    <w:p w:rsidR="000C50D1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 xml:space="preserve"> Генеральный план в пятимесячный срок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>с даты утверждения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>. В случае</w:t>
      </w:r>
      <w:proofErr w:type="gramStart"/>
      <w:r w:rsidRPr="00C77EF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C77EFC">
        <w:rPr>
          <w:rFonts w:ascii="Times New Roman" w:hAnsi="Times New Roman"/>
          <w:color w:val="000000"/>
          <w:sz w:val="28"/>
          <w:szCs w:val="28"/>
        </w:rPr>
        <w:t xml:space="preserve">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0C50D1" w:rsidRPr="00D158E0" w:rsidRDefault="000C50D1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0C50D1" w:rsidRPr="00D158E0" w:rsidRDefault="000C50D1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 xml:space="preserve">2.2.1/2.1.1.1200-03 «Санитарно-защитные зоны и санитарная классификация предприятий, сооружений и иных объектов», утвержденными </w:t>
      </w:r>
      <w:r w:rsidRPr="006207B7">
        <w:rPr>
          <w:rFonts w:ascii="Times New Roman" w:hAnsi="Times New Roman"/>
          <w:color w:val="000000"/>
          <w:sz w:val="28"/>
          <w:szCs w:val="28"/>
        </w:rPr>
        <w:lastRenderedPageBreak/>
        <w:t>Постановлением Главного государственного санитарного врача РФ от 25.09.2007 № 74 (далее также – СанПиН 2.2.1/2.1.1.1200-03)</w:t>
      </w:r>
    </w:p>
    <w:p w:rsidR="000C50D1" w:rsidRDefault="000C50D1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Просвет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  <w:proofErr w:type="gramEnd"/>
    </w:p>
    <w:p w:rsidR="000C50D1" w:rsidRPr="00D158E0" w:rsidRDefault="000C50D1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</w:t>
      </w:r>
      <w:proofErr w:type="gramEnd"/>
      <w:r w:rsidRPr="00195290">
        <w:rPr>
          <w:rFonts w:ascii="Times New Roman" w:hAnsi="Times New Roman"/>
          <w:color w:val="000000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0C50D1" w:rsidRPr="00AE686A" w:rsidRDefault="000C50D1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0C50D1" w:rsidRPr="00D158E0" w:rsidRDefault="000C50D1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50D1" w:rsidRPr="00D158E0" w:rsidRDefault="000C50D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0C50D1" w:rsidRPr="00D158E0" w:rsidRDefault="000C50D1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0C50D1" w:rsidRPr="00D158E0" w:rsidRDefault="000C50D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0C50D1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A3EC5" w:rsidRPr="00620648" w:rsidRDefault="00CA3EC5" w:rsidP="00CA3E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20648">
        <w:rPr>
          <w:rFonts w:ascii="Times New Roman" w:hAnsi="Times New Roman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CA3EC5" w:rsidRPr="00620648" w:rsidRDefault="00CA3EC5" w:rsidP="00CA3E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20648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Просвет муниципального района Волжский </w:t>
      </w:r>
      <w:r w:rsidRPr="00620648">
        <w:rPr>
          <w:rFonts w:ascii="Times New Roman" w:hAnsi="Times New Roman"/>
          <w:sz w:val="28"/>
          <w:szCs w:val="28"/>
        </w:rPr>
        <w:br/>
        <w:t>Самарской области, их основные характеристики и местоположение</w:t>
      </w:r>
    </w:p>
    <w:p w:rsidR="00CA3EC5" w:rsidRPr="00620648" w:rsidRDefault="00CA3EC5" w:rsidP="00CA3EC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CA3EC5" w:rsidRPr="00620648" w:rsidRDefault="00CA3EC5" w:rsidP="00CA3EC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20648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26"/>
        <w:gridCol w:w="1267"/>
        <w:gridCol w:w="1985"/>
        <w:gridCol w:w="2126"/>
        <w:gridCol w:w="2410"/>
      </w:tblGrid>
      <w:tr w:rsidR="00CA3EC5" w:rsidRPr="00620648" w:rsidTr="00F6335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06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064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62064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20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648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CA3EC5" w:rsidRPr="00620648" w:rsidTr="00F6335F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620648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 xml:space="preserve">участка, </w:t>
            </w:r>
            <w:proofErr w:type="gramStart"/>
            <w:r w:rsidRPr="00620648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  <w:proofErr w:type="gramStart"/>
            <w:r w:rsidRPr="00620648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8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CA3EC5" w:rsidRPr="00620648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167"/>
        </w:trPr>
        <w:tc>
          <w:tcPr>
            <w:tcW w:w="52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поселок Просвет, площадка № 1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6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включает универсальный спортивный зал общего пользования площадью 500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CA3EC5" w:rsidRPr="00F82E6C" w:rsidRDefault="00CA3EC5" w:rsidP="00CA3EC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F82E6C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CA3EC5" w:rsidRPr="00F82E6C" w:rsidTr="00F6335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2E6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CA3EC5" w:rsidRPr="00F82E6C" w:rsidTr="00F6335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участка,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hRule="exact" w:val="1254"/>
        </w:trPr>
        <w:tc>
          <w:tcPr>
            <w:tcW w:w="54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Учреждение культуры </w:t>
            </w:r>
          </w:p>
        </w:tc>
        <w:tc>
          <w:tcPr>
            <w:tcW w:w="2268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поселок Просвет, ул. </w:t>
            </w:r>
            <w:proofErr w:type="gramStart"/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</w:t>
            </w:r>
            <w:proofErr w:type="gramEnd"/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98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730 мест</w:t>
            </w:r>
          </w:p>
        </w:tc>
        <w:tc>
          <w:tcPr>
            <w:tcW w:w="2551" w:type="dxa"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CA3EC5" w:rsidRPr="00F82E6C" w:rsidRDefault="00CA3EC5" w:rsidP="00CA3EC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F82E6C">
        <w:rPr>
          <w:b w:val="0"/>
          <w:bCs w:val="0"/>
          <w:sz w:val="28"/>
          <w:szCs w:val="28"/>
        </w:rPr>
        <w:lastRenderedPageBreak/>
        <w:t>2.</w:t>
      </w:r>
      <w:r w:rsidRPr="00F82E6C">
        <w:rPr>
          <w:b w:val="0"/>
          <w:bCs w:val="0"/>
          <w:sz w:val="28"/>
          <w:szCs w:val="28"/>
          <w:lang w:val="ru-RU"/>
        </w:rPr>
        <w:t>3</w:t>
      </w:r>
      <w:r w:rsidRPr="00F82E6C">
        <w:rPr>
          <w:b w:val="0"/>
          <w:bCs w:val="0"/>
          <w:sz w:val="28"/>
          <w:szCs w:val="28"/>
        </w:rPr>
        <w:t>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CA3EC5" w:rsidRPr="00F82E6C" w:rsidTr="00F6335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2E6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CA3EC5" w:rsidRPr="00F82E6C" w:rsidTr="00F6335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участка,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74"/>
        </w:trPr>
        <w:tc>
          <w:tcPr>
            <w:tcW w:w="54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Предприятие коммунально-бытового обслуживания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поселок Просвет, площадка № 1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A3EC5" w:rsidRPr="00F82E6C" w:rsidRDefault="00CA3EC5" w:rsidP="00F6335F">
            <w:pPr>
              <w:jc w:val="center"/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126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прачечная на 178 кг белья в смену, баня на 40 мест, химчистка на 8,8 кг белья в смену, 53 рабочих места</w:t>
            </w:r>
          </w:p>
        </w:tc>
        <w:tc>
          <w:tcPr>
            <w:tcW w:w="2551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</w:tbl>
    <w:p w:rsidR="00CA3EC5" w:rsidRPr="00F82E6C" w:rsidRDefault="00CA3EC5" w:rsidP="00CA3EC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F82E6C">
        <w:rPr>
          <w:b w:val="0"/>
          <w:bCs w:val="0"/>
          <w:sz w:val="28"/>
          <w:szCs w:val="28"/>
        </w:rPr>
        <w:t>2.</w:t>
      </w:r>
      <w:r w:rsidRPr="00F82E6C">
        <w:rPr>
          <w:b w:val="0"/>
          <w:bCs w:val="0"/>
          <w:sz w:val="28"/>
          <w:szCs w:val="28"/>
          <w:lang w:val="ru-RU"/>
        </w:rPr>
        <w:t>4</w:t>
      </w:r>
      <w:r w:rsidRPr="00F82E6C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pPr w:leftFromText="180" w:rightFromText="180" w:vertAnchor="text" w:tblpX="-612" w:tblpY="1"/>
        <w:tblOverlap w:val="never"/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CA3EC5" w:rsidRPr="00F82E6C" w:rsidTr="00F6335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2E6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CA3EC5" w:rsidRPr="00F82E6C" w:rsidTr="00F6335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90"/>
        </w:trPr>
        <w:tc>
          <w:tcPr>
            <w:tcW w:w="540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поселок Просвет, в том числе:</w:t>
            </w:r>
          </w:p>
        </w:tc>
        <w:tc>
          <w:tcPr>
            <w:tcW w:w="1559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DA61FB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</w:t>
            </w:r>
            <w:r w:rsidRPr="00F82E6C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  <w:proofErr w:type="gramEnd"/>
          </w:p>
        </w:tc>
      </w:tr>
      <w:tr w:rsidR="00CA3EC5" w:rsidRPr="00F82E6C" w:rsidTr="00F6335F">
        <w:trPr>
          <w:cantSplit/>
          <w:trHeight w:val="90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DA61FB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jc w:val="center"/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напряжение – 10 (6)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90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DA61FB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2</w:t>
            </w:r>
          </w:p>
        </w:tc>
        <w:tc>
          <w:tcPr>
            <w:tcW w:w="1559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jc w:val="center"/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напряжение – 10 (6)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90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запа</w:t>
            </w: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днее площадки № 1 за границей поселка</w:t>
            </w:r>
          </w:p>
        </w:tc>
        <w:tc>
          <w:tcPr>
            <w:tcW w:w="1559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jc w:val="center"/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напряжение – 10 (6)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79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DA61FB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юго-западнее площадки № 2 за границей поселка</w:t>
            </w:r>
          </w:p>
        </w:tc>
        <w:tc>
          <w:tcPr>
            <w:tcW w:w="1559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jc w:val="center"/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напряжение – 10 (6)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48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DA61FB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севернее площадки № 2 за границей поселка</w:t>
            </w:r>
          </w:p>
        </w:tc>
        <w:tc>
          <w:tcPr>
            <w:tcW w:w="1559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jc w:val="center"/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напряжение – 10 (6)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1169"/>
        </w:trPr>
        <w:tc>
          <w:tcPr>
            <w:tcW w:w="54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3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напряжение – 10 (6)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450"/>
        </w:trPr>
        <w:tc>
          <w:tcPr>
            <w:tcW w:w="540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поселок Просвет, в том числе:</w:t>
            </w:r>
          </w:p>
        </w:tc>
        <w:tc>
          <w:tcPr>
            <w:tcW w:w="1559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</w:t>
            </w:r>
          </w:p>
        </w:tc>
      </w:tr>
      <w:tr w:rsidR="00CA3EC5" w:rsidRPr="00F82E6C" w:rsidTr="00F6335F">
        <w:trPr>
          <w:cantSplit/>
          <w:trHeight w:val="90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DA61FB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6 шт. мощностью 160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Pr="00F82E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коэффициент загрузки; 2 </w:t>
            </w:r>
            <w:proofErr w:type="spellStart"/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 xml:space="preserve"> мощностью 2х40кВА трансформаторов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spellEnd"/>
            <w:r w:rsidRPr="00F82E6C">
              <w:rPr>
                <w:rFonts w:ascii="Times New Roman" w:hAnsi="Times New Roman"/>
                <w:sz w:val="20"/>
                <w:szCs w:val="20"/>
              </w:rPr>
              <w:t>=0,4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1150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DA61FB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2</w:t>
            </w:r>
          </w:p>
        </w:tc>
        <w:tc>
          <w:tcPr>
            <w:tcW w:w="1559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4 шт. мощностью 160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Pr="00F82E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2 шт. мощностью 100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Pr="00F82E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3 шт. мощностью 40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Pr="00F82E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коэффициент загрузки трансформаторов </w:t>
            </w:r>
            <w:proofErr w:type="spellStart"/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=0,43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429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DA61FB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западнее площадки № 1 за границей поселка</w:t>
            </w:r>
          </w:p>
        </w:tc>
        <w:tc>
          <w:tcPr>
            <w:tcW w:w="1559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2 шт. мощностью 2х40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Pr="00F82E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коэффициент загрузки трансформаторов </w:t>
            </w:r>
            <w:proofErr w:type="spellStart"/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=0,4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429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DA61FB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юго-западнее площадки № 2 за границей поселка</w:t>
            </w:r>
          </w:p>
        </w:tc>
        <w:tc>
          <w:tcPr>
            <w:tcW w:w="1559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мощностью 40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Pr="00F82E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коэффициент загрузки трансформаторов </w:t>
            </w:r>
            <w:proofErr w:type="spellStart"/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=0,43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429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DA61FB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севернее площадки № 2 за границей поселка</w:t>
            </w:r>
          </w:p>
        </w:tc>
        <w:tc>
          <w:tcPr>
            <w:tcW w:w="1559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мощностью 40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Pr="00F82E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3EC5" w:rsidRPr="00F82E6C" w:rsidRDefault="00CA3EC5" w:rsidP="00F6335F">
            <w:pPr>
              <w:jc w:val="center"/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коэффициент загрузки трансформаторов </w:t>
            </w:r>
            <w:proofErr w:type="spellStart"/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=0,43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725"/>
        </w:trPr>
        <w:tc>
          <w:tcPr>
            <w:tcW w:w="54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Pr="00DA61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 3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2 шт. мощностью 160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Pr="00F82E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коэффициент загрузки трансформаторов </w:t>
            </w:r>
            <w:proofErr w:type="spellStart"/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=0,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EC5" w:rsidRPr="00F82E6C" w:rsidRDefault="00CA3EC5" w:rsidP="00CA3EC5">
      <w:pPr>
        <w:pStyle w:val="a1"/>
        <w:ind w:firstLine="0"/>
        <w:rPr>
          <w:lang w:eastAsia="x-none"/>
        </w:rPr>
      </w:pPr>
    </w:p>
    <w:p w:rsidR="00CA3EC5" w:rsidRPr="00F82E6C" w:rsidRDefault="00CA3EC5" w:rsidP="00CA3EC5">
      <w:pPr>
        <w:pStyle w:val="a1"/>
        <w:ind w:firstLine="0"/>
        <w:rPr>
          <w:lang w:eastAsia="x-none"/>
        </w:rPr>
      </w:pPr>
    </w:p>
    <w:p w:rsidR="00CA3EC5" w:rsidRPr="00F82E6C" w:rsidRDefault="00CA3EC5" w:rsidP="00CA3EC5">
      <w:pPr>
        <w:pStyle w:val="a1"/>
        <w:ind w:firstLine="0"/>
        <w:rPr>
          <w:lang w:eastAsia="x-none"/>
        </w:rPr>
      </w:pPr>
    </w:p>
    <w:p w:rsidR="00CA3EC5" w:rsidRPr="00F82E6C" w:rsidRDefault="00CA3EC5" w:rsidP="00CA3EC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F82E6C">
        <w:rPr>
          <w:b w:val="0"/>
          <w:bCs w:val="0"/>
          <w:sz w:val="28"/>
          <w:szCs w:val="28"/>
        </w:rPr>
        <w:lastRenderedPageBreak/>
        <w:t>2.</w:t>
      </w:r>
      <w:r w:rsidRPr="00F82E6C">
        <w:rPr>
          <w:b w:val="0"/>
          <w:bCs w:val="0"/>
          <w:sz w:val="28"/>
          <w:szCs w:val="28"/>
          <w:lang w:val="ru-RU"/>
        </w:rPr>
        <w:t>5</w:t>
      </w:r>
      <w:r w:rsidRPr="00F82E6C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CA3EC5" w:rsidRPr="00F82E6C" w:rsidTr="00F6335F">
        <w:trPr>
          <w:cantSplit/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2E6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CA3EC5" w:rsidRPr="00F82E6C" w:rsidTr="00F6335F">
        <w:trPr>
          <w:cantSplit/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60"/>
        </w:trPr>
        <w:tc>
          <w:tcPr>
            <w:tcW w:w="540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Домашкины</w:t>
            </w:r>
            <w:proofErr w:type="spellEnd"/>
            <w:r w:rsidRPr="00F82E6C">
              <w:rPr>
                <w:rFonts w:ascii="Times New Roman" w:hAnsi="Times New Roman"/>
                <w:sz w:val="20"/>
                <w:szCs w:val="20"/>
              </w:rPr>
              <w:t xml:space="preserve"> Вершины, 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производительность –370 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 м</w:t>
            </w:r>
          </w:p>
        </w:tc>
      </w:tr>
      <w:tr w:rsidR="00CA3EC5" w:rsidRPr="00F82E6C" w:rsidTr="00F6335F">
        <w:trPr>
          <w:cantSplit/>
          <w:trHeight w:val="315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производительность –  185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15 м</w:t>
            </w: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поселок Просвет, в том числе:</w:t>
            </w:r>
          </w:p>
        </w:tc>
        <w:tc>
          <w:tcPr>
            <w:tcW w:w="1559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520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2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 шт. производительность – до 70 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F82E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 шт. производительность – до 140 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520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производительность – до 230 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 м</w:t>
            </w: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западнее площадки № 1 за границей поселка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производительность 230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поселок Просвет, в том числе:</w:t>
            </w:r>
          </w:p>
        </w:tc>
        <w:tc>
          <w:tcPr>
            <w:tcW w:w="1559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 соответствии с табл. 15,16  СП 42.13330 определяется на стадии проекта планировки территории</w:t>
            </w: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2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западнее площадки № 1 за границей поселка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севернее площадки № 2 за границей поселка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площадка № 3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45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поселок Просвет, в том числе:</w:t>
            </w:r>
          </w:p>
        </w:tc>
        <w:tc>
          <w:tcPr>
            <w:tcW w:w="1559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200 м</w:t>
            </w: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западнее площадки № 1 за границей села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производительность 230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западнее площадки № 2 за границей села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производительность 230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площадка № 3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производительность 15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15 м</w:t>
            </w:r>
          </w:p>
        </w:tc>
      </w:tr>
    </w:tbl>
    <w:p w:rsidR="00CA3EC5" w:rsidRPr="00F82E6C" w:rsidRDefault="00CA3EC5" w:rsidP="00CA3EC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F82E6C">
        <w:rPr>
          <w:b w:val="0"/>
          <w:bCs w:val="0"/>
          <w:sz w:val="28"/>
          <w:szCs w:val="28"/>
          <w:lang w:val="ru-RU"/>
        </w:rPr>
        <w:t>2.6</w:t>
      </w:r>
      <w:r w:rsidRPr="00F82E6C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CA3EC5" w:rsidRPr="00F82E6C" w:rsidTr="00F6335F">
        <w:trPr>
          <w:cantSplit/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2E6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CA3EC5" w:rsidRPr="00F82E6C" w:rsidTr="00F6335F">
        <w:trPr>
          <w:cantSplit/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14"/>
        </w:trPr>
        <w:tc>
          <w:tcPr>
            <w:tcW w:w="540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поселок Просвет, в том числе:</w:t>
            </w:r>
          </w:p>
        </w:tc>
        <w:tc>
          <w:tcPr>
            <w:tcW w:w="1559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при отсутствии грунтовых </w:t>
            </w:r>
            <w:r w:rsidRPr="00F82E6C">
              <w:rPr>
                <w:rFonts w:ascii="Times New Roman" w:hAnsi="Times New Roman"/>
                <w:sz w:val="20"/>
                <w:szCs w:val="20"/>
              </w:rPr>
              <w:lastRenderedPageBreak/>
              <w:t>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      </w:r>
          </w:p>
        </w:tc>
      </w:tr>
      <w:tr w:rsidR="00CA3EC5" w:rsidRPr="00F82E6C" w:rsidTr="00F6335F">
        <w:trPr>
          <w:cantSplit/>
          <w:trHeight w:val="314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14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2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14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юго-восточнее площадки № 2 за границей поселка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14"/>
        </w:trPr>
        <w:tc>
          <w:tcPr>
            <w:tcW w:w="54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</w:tcPr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площадка № 3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14"/>
        </w:trPr>
        <w:tc>
          <w:tcPr>
            <w:tcW w:w="540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  <w:vMerge w:val="restart"/>
          </w:tcPr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поселок Просвет, в том числе:</w:t>
            </w:r>
          </w:p>
        </w:tc>
        <w:tc>
          <w:tcPr>
            <w:tcW w:w="1559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граница первого пояса ЗСО водопроводных сооружений принимается на расстоянии не менее 10 м от объекта. </w:t>
            </w:r>
          </w:p>
        </w:tc>
      </w:tr>
      <w:tr w:rsidR="00CA3EC5" w:rsidRPr="00F82E6C" w:rsidTr="00F6335F">
        <w:trPr>
          <w:cantSplit/>
          <w:trHeight w:val="314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севернее площадки № 1 за границей поселка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14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A3EC5" w:rsidRPr="00F82E6C" w:rsidRDefault="00CA3EC5" w:rsidP="00F6335F">
            <w:pPr>
              <w:jc w:val="center"/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северо-восточнее площадки № 1 за границей поселка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14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jc w:val="center"/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юго-восточнее площадки № 2 за границей поселка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jc w:val="center"/>
            </w:pPr>
            <w:r w:rsidRPr="00F82E6C"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EC5" w:rsidRPr="00F82E6C" w:rsidRDefault="00CA3EC5" w:rsidP="00CA3EC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F82E6C">
        <w:rPr>
          <w:b w:val="0"/>
          <w:bCs w:val="0"/>
          <w:sz w:val="28"/>
          <w:szCs w:val="28"/>
        </w:rPr>
        <w:t>2.</w:t>
      </w:r>
      <w:r w:rsidRPr="00F82E6C">
        <w:rPr>
          <w:b w:val="0"/>
          <w:bCs w:val="0"/>
          <w:sz w:val="28"/>
          <w:szCs w:val="28"/>
          <w:lang w:val="ru-RU"/>
        </w:rPr>
        <w:t>7.</w:t>
      </w:r>
      <w:r w:rsidRPr="00F82E6C">
        <w:rPr>
          <w:b w:val="0"/>
          <w:bCs w:val="0"/>
          <w:sz w:val="28"/>
          <w:szCs w:val="28"/>
        </w:rPr>
        <w:t xml:space="preserve">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CA3EC5" w:rsidRPr="00F82E6C" w:rsidTr="00F6335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2E6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CA3EC5" w:rsidRPr="00F82E6C" w:rsidTr="00F6335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685"/>
        </w:trPr>
        <w:tc>
          <w:tcPr>
            <w:tcW w:w="540" w:type="dxa"/>
            <w:vMerge w:val="restart"/>
          </w:tcPr>
          <w:p w:rsidR="00CA3EC5" w:rsidRPr="00DA61FB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61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поселок Просвет, в том числе:</w:t>
            </w:r>
          </w:p>
        </w:tc>
        <w:tc>
          <w:tcPr>
            <w:tcW w:w="1559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</w:t>
            </w:r>
            <w:r w:rsidRPr="00F82E6C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CA3EC5" w:rsidRPr="00F82E6C" w:rsidTr="00F6335F">
        <w:trPr>
          <w:cantSplit/>
          <w:trHeight w:val="394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9,65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=0,6 МПа  Р=3кПа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94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11,05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=0,6 МПа  Р=3кПа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94"/>
        </w:trPr>
        <w:tc>
          <w:tcPr>
            <w:tcW w:w="540" w:type="dxa"/>
          </w:tcPr>
          <w:p w:rsidR="00CA3EC5" w:rsidRPr="00F82E6C" w:rsidRDefault="00CA3EC5" w:rsidP="00F6335F">
            <w:pPr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F82E6C">
              <w:rPr>
                <w:rFonts w:ascii="Times New Roman" w:hAnsi="Times New Roman"/>
                <w:sz w:val="20"/>
                <w:szCs w:val="20"/>
              </w:rPr>
              <w:t>Домашкины</w:t>
            </w:r>
            <w:proofErr w:type="spellEnd"/>
            <w:r w:rsidRPr="00F82E6C">
              <w:rPr>
                <w:rFonts w:ascii="Times New Roman" w:hAnsi="Times New Roman"/>
                <w:sz w:val="20"/>
                <w:szCs w:val="20"/>
              </w:rPr>
              <w:t xml:space="preserve"> Вершины, площадка № 3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=3кПа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94"/>
        </w:trPr>
        <w:tc>
          <w:tcPr>
            <w:tcW w:w="54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24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юге поселка Пахарь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394"/>
        </w:trPr>
        <w:tc>
          <w:tcPr>
            <w:tcW w:w="540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поселок Просвет, в том числе:</w:t>
            </w:r>
          </w:p>
        </w:tc>
        <w:tc>
          <w:tcPr>
            <w:tcW w:w="1559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</w:t>
            </w:r>
            <w:r w:rsidRPr="00F82E6C">
              <w:rPr>
                <w:rFonts w:ascii="Times New Roman" w:hAnsi="Times New Roman"/>
                <w:sz w:val="20"/>
                <w:szCs w:val="20"/>
              </w:rPr>
              <w:lastRenderedPageBreak/>
              <w:t>сетей, утвержденными Постановлением Правительства Российской Федерации от 20.11.2000 № 878, охранная зона 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  <w:tr w:rsidR="00CA3EC5" w:rsidRPr="00F82E6C" w:rsidTr="00F6335F">
        <w:trPr>
          <w:cantSplit/>
          <w:trHeight w:val="90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90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EC5" w:rsidRPr="00F82E6C" w:rsidRDefault="00CA3EC5" w:rsidP="00CA3EC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F82E6C">
        <w:rPr>
          <w:b w:val="0"/>
          <w:bCs w:val="0"/>
          <w:sz w:val="28"/>
          <w:szCs w:val="28"/>
        </w:rPr>
        <w:lastRenderedPageBreak/>
        <w:t>2.</w:t>
      </w:r>
      <w:r w:rsidRPr="00F82E6C">
        <w:rPr>
          <w:b w:val="0"/>
          <w:bCs w:val="0"/>
          <w:sz w:val="28"/>
          <w:szCs w:val="28"/>
          <w:lang w:val="ru-RU"/>
        </w:rPr>
        <w:t>8</w:t>
      </w:r>
      <w:r w:rsidRPr="00F82E6C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CA3EC5" w:rsidRPr="00F82E6C" w:rsidTr="00F6335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2E6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CA3EC5" w:rsidRPr="00F82E6C" w:rsidTr="00F6335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поселок Просвет, в том числе:</w:t>
            </w:r>
          </w:p>
        </w:tc>
        <w:tc>
          <w:tcPr>
            <w:tcW w:w="1559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основная улица, второстепенная улица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2</w:t>
            </w:r>
          </w:p>
        </w:tc>
        <w:tc>
          <w:tcPr>
            <w:tcW w:w="1559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3EC5" w:rsidRPr="00F82E6C" w:rsidRDefault="00CA3EC5" w:rsidP="00F6335F">
            <w:pPr>
              <w:jc w:val="center"/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юге поселка Пахарь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jc w:val="center"/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cantSplit/>
          <w:trHeight w:val="253"/>
        </w:trPr>
        <w:tc>
          <w:tcPr>
            <w:tcW w:w="54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Pr="00F82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площадка № 3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основные улицы</w:t>
            </w:r>
          </w:p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второстепенные улицы</w:t>
            </w:r>
          </w:p>
        </w:tc>
        <w:tc>
          <w:tcPr>
            <w:tcW w:w="2551" w:type="dxa"/>
            <w:vMerge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EC5" w:rsidRPr="00F82E6C" w:rsidRDefault="00CA3EC5" w:rsidP="00CA3EC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F82E6C">
        <w:rPr>
          <w:b w:val="0"/>
          <w:bCs w:val="0"/>
          <w:sz w:val="28"/>
          <w:szCs w:val="28"/>
        </w:rPr>
        <w:lastRenderedPageBreak/>
        <w:t>2.</w:t>
      </w:r>
      <w:r w:rsidRPr="00F82E6C">
        <w:rPr>
          <w:b w:val="0"/>
          <w:bCs w:val="0"/>
          <w:sz w:val="28"/>
          <w:szCs w:val="28"/>
          <w:lang w:val="ru-RU"/>
        </w:rPr>
        <w:t>9</w:t>
      </w:r>
      <w:r w:rsidRPr="00F82E6C">
        <w:rPr>
          <w:b w:val="0"/>
          <w:bCs w:val="0"/>
          <w:sz w:val="28"/>
          <w:szCs w:val="28"/>
        </w:rPr>
        <w:t>. Объекты местного значения в сфере 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CA3EC5" w:rsidRPr="00F82E6C" w:rsidTr="00F6335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82E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2E6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CA3EC5" w:rsidRPr="00F82E6C" w:rsidTr="00F6335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F82E6C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C5" w:rsidRPr="00F82E6C" w:rsidTr="00F6335F">
        <w:trPr>
          <w:trHeight w:val="253"/>
        </w:trPr>
        <w:tc>
          <w:tcPr>
            <w:tcW w:w="54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на западе за границей поселка Просвет</w:t>
            </w:r>
          </w:p>
        </w:tc>
        <w:tc>
          <w:tcPr>
            <w:tcW w:w="1559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A3EC5" w:rsidRPr="00DA61FB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CA3EC5" w:rsidRPr="00F82E6C" w:rsidRDefault="00CA3EC5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326DFA" w:rsidRPr="00F82E6C" w:rsidTr="00F6335F">
        <w:trPr>
          <w:trHeight w:val="253"/>
        </w:trPr>
        <w:tc>
          <w:tcPr>
            <w:tcW w:w="540" w:type="dxa"/>
          </w:tcPr>
          <w:p w:rsidR="00326DFA" w:rsidRPr="00F82E6C" w:rsidRDefault="00326DFA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245" w:type="dxa"/>
          </w:tcPr>
          <w:p w:rsidR="00326DFA" w:rsidRPr="00F82E6C" w:rsidRDefault="00326DFA" w:rsidP="00F63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26DFA" w:rsidRPr="00F82E6C" w:rsidRDefault="00326DFA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DFA">
              <w:rPr>
                <w:rFonts w:ascii="Times New Roman" w:hAnsi="Times New Roman"/>
                <w:sz w:val="20"/>
                <w:szCs w:val="20"/>
              </w:rPr>
              <w:t>в северо-западной части поселка Пахарь</w:t>
            </w:r>
          </w:p>
        </w:tc>
        <w:tc>
          <w:tcPr>
            <w:tcW w:w="1559" w:type="dxa"/>
          </w:tcPr>
          <w:p w:rsidR="00326DFA" w:rsidRPr="00F82E6C" w:rsidRDefault="00326DFA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26DFA" w:rsidRPr="00F82E6C" w:rsidRDefault="00326DFA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26DFA" w:rsidRPr="00F82E6C" w:rsidRDefault="00326DFA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26DFA" w:rsidRPr="00F82E6C" w:rsidRDefault="00326DFA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326DFA" w:rsidRDefault="00326DFA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326DFA" w:rsidRPr="00F82E6C" w:rsidRDefault="00326DFA" w:rsidP="00F6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6C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  <w:bookmarkStart w:id="0" w:name="_GoBack"/>
            <w:bookmarkEnd w:id="0"/>
          </w:p>
        </w:tc>
      </w:tr>
    </w:tbl>
    <w:p w:rsidR="00CA3EC5" w:rsidRPr="00F82E6C" w:rsidRDefault="00CA3EC5" w:rsidP="00CA3EC5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lang w:val="ru-RU"/>
        </w:rPr>
      </w:pPr>
    </w:p>
    <w:p w:rsidR="00CA3EC5" w:rsidRPr="00F82E6C" w:rsidRDefault="00CA3EC5" w:rsidP="00CA3EC5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  <w:sectPr w:rsidR="00CA3EC5" w:rsidRPr="00F82E6C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CA3EC5" w:rsidRPr="00F82E6C" w:rsidRDefault="00CA3EC5" w:rsidP="00CA3E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1F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DA61FB">
        <w:rPr>
          <w:rFonts w:ascii="Times New Roman" w:hAnsi="Times New Roman"/>
          <w:sz w:val="28"/>
          <w:szCs w:val="28"/>
        </w:rPr>
        <w:t xml:space="preserve">Параметры функциональных зон, а также сведения о планируемых для размещения в них объектах регионального </w:t>
      </w:r>
      <w:r w:rsidRPr="00F82E6C">
        <w:rPr>
          <w:rFonts w:ascii="Times New Roman" w:hAnsi="Times New Roman"/>
          <w:sz w:val="28"/>
          <w:szCs w:val="28"/>
        </w:rPr>
        <w:t>значения, объектах местного значения муниципального района Волжский, объектах местного значения сельского поселения Просвет, за исключением линейных объектов</w:t>
      </w:r>
      <w:proofErr w:type="gramEnd"/>
    </w:p>
    <w:p w:rsidR="00CA3EC5" w:rsidRPr="00F82E6C" w:rsidRDefault="00CA3EC5" w:rsidP="00CA3E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523"/>
        <w:gridCol w:w="58"/>
        <w:gridCol w:w="2835"/>
        <w:gridCol w:w="2892"/>
        <w:gridCol w:w="84"/>
        <w:gridCol w:w="2808"/>
      </w:tblGrid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E6E6E6"/>
          </w:tcPr>
          <w:p w:rsidR="00CA3EC5" w:rsidRPr="00DA61FB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DA61FB">
              <w:rPr>
                <w:rFonts w:ascii="Times New Roman" w:hAnsi="Times New Roman"/>
              </w:rPr>
              <w:t xml:space="preserve">Вид зоны </w:t>
            </w:r>
          </w:p>
        </w:tc>
        <w:tc>
          <w:tcPr>
            <w:tcW w:w="2523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F82E6C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Коэффициент застройки</w:t>
            </w:r>
          </w:p>
        </w:tc>
        <w:tc>
          <w:tcPr>
            <w:tcW w:w="2892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Коэффициент плотности застройки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Плотность населения, чел./</w:t>
            </w:r>
            <w:proofErr w:type="gramStart"/>
            <w:r w:rsidRPr="00F82E6C">
              <w:rPr>
                <w:rFonts w:ascii="Times New Roman" w:hAnsi="Times New Roman"/>
              </w:rPr>
              <w:t>га</w:t>
            </w:r>
            <w:proofErr w:type="gramEnd"/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b/>
              </w:rPr>
            </w:pPr>
            <w:r w:rsidRPr="00F82E6C">
              <w:rPr>
                <w:rFonts w:ascii="Times New Roman" w:hAnsi="Times New Roman"/>
                <w:b/>
              </w:rPr>
              <w:t>Жил</w:t>
            </w:r>
            <w:r>
              <w:rPr>
                <w:rFonts w:ascii="Times New Roman" w:hAnsi="Times New Roman"/>
                <w:b/>
              </w:rPr>
              <w:t>ые</w:t>
            </w:r>
            <w:r w:rsidRPr="00F82E6C">
              <w:rPr>
                <w:rFonts w:ascii="Times New Roman" w:hAnsi="Times New Roman"/>
                <w:b/>
              </w:rPr>
              <w:t xml:space="preserve"> зон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E6E6E6"/>
          </w:tcPr>
          <w:p w:rsidR="00CA3EC5" w:rsidRPr="00DA61FB" w:rsidRDefault="00CA3EC5" w:rsidP="00F6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378,4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0,2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0,4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25</w:t>
            </w: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auto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6"/>
            <w:shd w:val="clear" w:color="auto" w:fill="auto"/>
          </w:tcPr>
          <w:p w:rsidR="00CA3EC5" w:rsidRPr="00DA61FB" w:rsidRDefault="00CA3EC5" w:rsidP="00F6335F">
            <w:pPr>
              <w:jc w:val="both"/>
              <w:rPr>
                <w:rFonts w:ascii="Times New Roman" w:hAnsi="Times New Roman"/>
                <w:b/>
              </w:rPr>
            </w:pPr>
            <w:r w:rsidRPr="00DA61FB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 общеобразовательное учреждение в поселке Просвет, площадка № 1;</w:t>
            </w:r>
          </w:p>
          <w:p w:rsidR="00CA3EC5" w:rsidRDefault="00CA3EC5" w:rsidP="00F6335F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2E6C">
              <w:rPr>
                <w:rFonts w:ascii="Times New Roman" w:hAnsi="Times New Roman"/>
              </w:rPr>
              <w:t>- дошкольное образовательное учреждение на 310 мест в поселке Просвет, ул. Садовая (реконструкция)</w:t>
            </w:r>
            <w:r w:rsidR="00EA4D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; </w:t>
            </w:r>
          </w:p>
          <w:p w:rsidR="00EA4D80" w:rsidRPr="00F82E6C" w:rsidRDefault="00EA4D80" w:rsidP="00F6335F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дошкольное образовательное учреждение на 156 мест в поселке Просвет, площадка № 2 (строительство)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  <w:b/>
              </w:rPr>
            </w:pPr>
            <w:r w:rsidRPr="00F82E6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комплектные трансформаторные подстанции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площадка № 1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2E6C">
              <w:rPr>
                <w:rFonts w:ascii="Times New Roman" w:hAnsi="Times New Roman"/>
              </w:rPr>
              <w:t xml:space="preserve">- комплектные трансформаторные подстанции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площадка № 2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комплектные трансформаторные подстанции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поселке </w:t>
            </w:r>
            <w:proofErr w:type="spellStart"/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Домашкины</w:t>
            </w:r>
            <w:proofErr w:type="spellEnd"/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Вершины, площадка № 3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площадка № 2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канализационные очистные сооружения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поселке </w:t>
            </w:r>
            <w:proofErr w:type="spellStart"/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Домашкины</w:t>
            </w:r>
            <w:proofErr w:type="spellEnd"/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Вершины, площадка № 3;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шкафной газорегуляторный пункт (ШГРП)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поселке </w:t>
            </w:r>
            <w:r w:rsidRPr="00F82E6C">
              <w:rPr>
                <w:rFonts w:ascii="Times New Roman" w:hAnsi="Times New Roman"/>
              </w:rPr>
              <w:t>Просвет, площадка № 1;</w:t>
            </w:r>
          </w:p>
          <w:p w:rsidR="00CA3EC5" w:rsidRPr="00F82E6C" w:rsidRDefault="00CA3EC5" w:rsidP="00F6335F">
            <w:r w:rsidRPr="00F82E6C">
              <w:rPr>
                <w:rFonts w:ascii="Times New Roman" w:hAnsi="Times New Roman"/>
              </w:rPr>
              <w:t xml:space="preserve">- шкафной газорегуляторный пункт (ШГРП)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поселке </w:t>
            </w:r>
            <w:r w:rsidRPr="00F82E6C">
              <w:rPr>
                <w:rFonts w:ascii="Times New Roman" w:hAnsi="Times New Roman"/>
              </w:rPr>
              <w:t xml:space="preserve">Просвет, площадка № 2. </w:t>
            </w:r>
          </w:p>
        </w:tc>
      </w:tr>
      <w:tr w:rsidR="00CA3EC5" w:rsidRPr="00F82E6C" w:rsidTr="00F6335F">
        <w:tc>
          <w:tcPr>
            <w:tcW w:w="144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3EC5" w:rsidRPr="00F82E6C" w:rsidRDefault="00CA3EC5" w:rsidP="00F6335F">
            <w:pPr>
              <w:ind w:firstLine="650"/>
              <w:jc w:val="both"/>
              <w:rPr>
                <w:rFonts w:ascii="Times New Roman" w:hAnsi="Times New Roman"/>
                <w:b/>
              </w:rPr>
            </w:pPr>
            <w:r w:rsidRPr="00DA61FB">
              <w:rPr>
                <w:rFonts w:ascii="Times New Roman" w:hAnsi="Times New Roman"/>
                <w:b/>
              </w:rPr>
              <w:t xml:space="preserve">Развитие жилой зоны до </w:t>
            </w:r>
            <w:r w:rsidRPr="00F82E6C">
              <w:rPr>
                <w:rFonts w:ascii="Times New Roman" w:hAnsi="Times New Roman"/>
                <w:b/>
              </w:rPr>
              <w:t xml:space="preserve">2033 года в поселке Просвет планируется на следующих площадках: </w:t>
            </w:r>
          </w:p>
          <w:p w:rsidR="00CA3EC5" w:rsidRPr="00F82E6C" w:rsidRDefault="00CA3EC5" w:rsidP="00F6335F">
            <w:pPr>
              <w:ind w:firstLine="650"/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на площадке № 1 общей площадью территории – 100,9 га, расположенной в северной части поселка (планируется размещение 429 участков под индивидуальное жилищное строительство, ориентировочная общая площадь жилищного фонда – 64350 </w:t>
            </w:r>
            <w:proofErr w:type="spellStart"/>
            <w:r w:rsidRPr="00F82E6C">
              <w:rPr>
                <w:rFonts w:ascii="Times New Roman" w:hAnsi="Times New Roman"/>
              </w:rPr>
              <w:t>кв</w:t>
            </w:r>
            <w:proofErr w:type="gramStart"/>
            <w:r w:rsidRPr="00F82E6C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82E6C">
              <w:rPr>
                <w:rFonts w:ascii="Times New Roman" w:hAnsi="Times New Roman"/>
              </w:rPr>
              <w:t>, расчетная численность населения – 1502 человек);</w:t>
            </w:r>
          </w:p>
          <w:p w:rsidR="00CA3EC5" w:rsidRPr="00F82E6C" w:rsidRDefault="00CA3EC5" w:rsidP="00F6335F">
            <w:pPr>
              <w:ind w:firstLine="650"/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на площадке № 2 общей площадью территории –</w:t>
            </w:r>
            <w:r>
              <w:rPr>
                <w:rFonts w:ascii="Times New Roman" w:hAnsi="Times New Roman"/>
              </w:rPr>
              <w:t xml:space="preserve"> </w:t>
            </w:r>
            <w:r w:rsidRPr="00DA61FB">
              <w:rPr>
                <w:rFonts w:ascii="Times New Roman" w:hAnsi="Times New Roman"/>
              </w:rPr>
              <w:t>87</w:t>
            </w:r>
            <w:r w:rsidRPr="00F82E6C">
              <w:rPr>
                <w:rFonts w:ascii="Times New Roman" w:hAnsi="Times New Roman"/>
              </w:rPr>
              <w:t xml:space="preserve"> га, расположенной в южной части поселка (планируется размещение 408 участков под индивидуальное жилищное строительство, ориентировочная общая площадь жилищного фонда – 61200 </w:t>
            </w:r>
            <w:proofErr w:type="spellStart"/>
            <w:r w:rsidRPr="00F82E6C">
              <w:rPr>
                <w:rFonts w:ascii="Times New Roman" w:hAnsi="Times New Roman"/>
              </w:rPr>
              <w:t>кв</w:t>
            </w:r>
            <w:proofErr w:type="gramStart"/>
            <w:r w:rsidRPr="00F82E6C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82E6C">
              <w:rPr>
                <w:rFonts w:ascii="Times New Roman" w:hAnsi="Times New Roman"/>
              </w:rPr>
              <w:t>, расчетная численность населения – 1428 человек).</w:t>
            </w:r>
          </w:p>
          <w:p w:rsidR="00CA3EC5" w:rsidRPr="00F82E6C" w:rsidRDefault="00CA3EC5" w:rsidP="00F6335F">
            <w:pPr>
              <w:ind w:firstLine="650"/>
              <w:jc w:val="both"/>
              <w:rPr>
                <w:rFonts w:ascii="Times New Roman" w:hAnsi="Times New Roman"/>
                <w:b/>
              </w:rPr>
            </w:pPr>
            <w:r w:rsidRPr="00F82E6C">
              <w:rPr>
                <w:rFonts w:ascii="Times New Roman" w:hAnsi="Times New Roman"/>
                <w:b/>
              </w:rPr>
              <w:t xml:space="preserve">Развитие жилой зоны до 2033 года в поселке </w:t>
            </w:r>
            <w:proofErr w:type="spellStart"/>
            <w:r w:rsidRPr="00F82E6C">
              <w:rPr>
                <w:rFonts w:ascii="Times New Roman" w:hAnsi="Times New Roman"/>
                <w:b/>
              </w:rPr>
              <w:t>Домашкины</w:t>
            </w:r>
            <w:proofErr w:type="spellEnd"/>
            <w:r w:rsidRPr="00F82E6C">
              <w:rPr>
                <w:rFonts w:ascii="Times New Roman" w:hAnsi="Times New Roman"/>
                <w:b/>
              </w:rPr>
              <w:t xml:space="preserve"> Вершины планируется на следующих площадках: </w:t>
            </w:r>
          </w:p>
          <w:p w:rsidR="00CA3EC5" w:rsidRPr="00F82E6C" w:rsidRDefault="00CA3EC5" w:rsidP="00F6335F">
            <w:pPr>
              <w:ind w:firstLine="650"/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на площадке № 3 общей площадью территории – 7,3 га, расположенной в северо-западной части поселка (планируется размещение 29 участков под индивидуальное жилищное строительство, ориентировочная общая площадь жилищного фонда – 4350 </w:t>
            </w:r>
            <w:proofErr w:type="spellStart"/>
            <w:r w:rsidRPr="00F82E6C">
              <w:rPr>
                <w:rFonts w:ascii="Times New Roman" w:hAnsi="Times New Roman"/>
              </w:rPr>
              <w:t>кв</w:t>
            </w:r>
            <w:proofErr w:type="gramStart"/>
            <w:r w:rsidRPr="00F82E6C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82E6C">
              <w:rPr>
                <w:rFonts w:ascii="Times New Roman" w:hAnsi="Times New Roman"/>
              </w:rPr>
              <w:t>, расчетная численность населения – 102 человек)</w:t>
            </w: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b/>
              </w:rPr>
            </w:pPr>
            <w:r w:rsidRPr="00DA61FB">
              <w:rPr>
                <w:rFonts w:ascii="Times New Roman" w:hAnsi="Times New Roman"/>
                <w:b/>
              </w:rPr>
              <w:t>Общественно-делов</w:t>
            </w:r>
            <w:r>
              <w:rPr>
                <w:rFonts w:ascii="Times New Roman" w:hAnsi="Times New Roman"/>
                <w:b/>
              </w:rPr>
              <w:t>ые</w:t>
            </w:r>
            <w:r w:rsidRPr="00DA61FB">
              <w:rPr>
                <w:rFonts w:ascii="Times New Roman" w:hAnsi="Times New Roman"/>
                <w:b/>
              </w:rPr>
              <w:t xml:space="preserve"> зон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shd w:val="clear" w:color="auto" w:fill="E6E6E6"/>
          </w:tcPr>
          <w:p w:rsidR="00CA3EC5" w:rsidRPr="00DA61FB" w:rsidRDefault="00CA3EC5" w:rsidP="00F6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1</w:t>
            </w:r>
          </w:p>
        </w:tc>
        <w:tc>
          <w:tcPr>
            <w:tcW w:w="2892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3,0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auto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6"/>
            <w:shd w:val="clear" w:color="auto" w:fill="auto"/>
          </w:tcPr>
          <w:p w:rsidR="00CA3EC5" w:rsidRPr="00DA61FB" w:rsidRDefault="00CA3EC5" w:rsidP="00F6335F">
            <w:pPr>
              <w:jc w:val="both"/>
              <w:rPr>
                <w:rFonts w:ascii="Times New Roman" w:hAnsi="Times New Roman"/>
                <w:b/>
              </w:rPr>
            </w:pPr>
            <w:r w:rsidRPr="00DA61FB">
              <w:rPr>
                <w:rFonts w:ascii="Times New Roman" w:hAnsi="Times New Roman"/>
                <w:b/>
              </w:rPr>
              <w:t xml:space="preserve">объекты </w:t>
            </w:r>
            <w:r w:rsidR="0031747E">
              <w:rPr>
                <w:rFonts w:ascii="Times New Roman" w:hAnsi="Times New Roman"/>
                <w:b/>
              </w:rPr>
              <w:t>регионального значения</w:t>
            </w:r>
            <w:r w:rsidRPr="00DA61FB">
              <w:rPr>
                <w:rFonts w:ascii="Times New Roman" w:hAnsi="Times New Roman"/>
                <w:b/>
              </w:rPr>
              <w:t>:</w:t>
            </w:r>
          </w:p>
          <w:p w:rsidR="00CA3EC5" w:rsidRPr="00DA61FB" w:rsidRDefault="00CA3EC5" w:rsidP="00F6335F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фельдшерско-акушерский пункт в поселке </w:t>
            </w:r>
            <w:proofErr w:type="spellStart"/>
            <w:r w:rsidRPr="00F82E6C">
              <w:rPr>
                <w:rFonts w:ascii="Times New Roman" w:hAnsi="Times New Roman"/>
              </w:rPr>
              <w:t>Домашкины</w:t>
            </w:r>
            <w:proofErr w:type="spellEnd"/>
            <w:r w:rsidRPr="00F82E6C">
              <w:rPr>
                <w:rFonts w:ascii="Times New Roman" w:hAnsi="Times New Roman"/>
              </w:rPr>
              <w:t xml:space="preserve"> Вершины, площадка № </w:t>
            </w:r>
            <w:r>
              <w:rPr>
                <w:rFonts w:ascii="Times New Roman" w:hAnsi="Times New Roman"/>
              </w:rPr>
              <w:t>3</w:t>
            </w:r>
            <w:r w:rsidRPr="00DA61FB">
              <w:rPr>
                <w:rFonts w:ascii="Times New Roman" w:hAnsi="Times New Roman"/>
              </w:rPr>
              <w:t>.</w:t>
            </w:r>
          </w:p>
          <w:p w:rsidR="00CA3EC5" w:rsidRPr="00F82E6C" w:rsidRDefault="00CA3EC5" w:rsidP="00F6335F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F82E6C">
              <w:rPr>
                <w:rFonts w:ascii="Times New Roman" w:hAnsi="Times New Roman"/>
              </w:rPr>
              <w:t xml:space="preserve"> 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учреждение культуры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ул. Самарская, 2 (</w:t>
            </w:r>
            <w:r w:rsidRPr="00F82E6C">
              <w:rPr>
                <w:rFonts w:ascii="Times New Roman" w:hAnsi="Times New Roman"/>
              </w:rPr>
              <w:t>реконструкция);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F82E6C">
              <w:rPr>
                <w:rFonts w:ascii="Times New Roman" w:hAnsi="Times New Roman"/>
              </w:rPr>
              <w:t xml:space="preserve">- предприятие коммунально-бытового обслуживания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площадка № 1</w:t>
            </w:r>
            <w:r w:rsidRPr="00F82E6C">
              <w:rPr>
                <w:rFonts w:ascii="Times New Roman" w:hAnsi="Times New Roman"/>
              </w:rPr>
              <w:t>;</w:t>
            </w: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523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12,4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CA3EC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</w:t>
            </w:r>
            <w:r w:rsidRPr="00F82E6C">
              <w:rPr>
                <w:rFonts w:ascii="Times New Roman" w:hAnsi="Times New Roman"/>
                <w:b/>
              </w:rPr>
              <w:t>он</w:t>
            </w:r>
            <w:r>
              <w:rPr>
                <w:rFonts w:ascii="Times New Roman" w:hAnsi="Times New Roman"/>
                <w:b/>
              </w:rPr>
              <w:t>ы</w:t>
            </w:r>
            <w:r w:rsidRPr="00F82E6C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523" w:type="dxa"/>
            <w:shd w:val="clear" w:color="auto" w:fill="E6E6E6"/>
          </w:tcPr>
          <w:p w:rsidR="00CA3EC5" w:rsidRPr="00DA61FB" w:rsidRDefault="00CA3EC5" w:rsidP="00F6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auto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6"/>
            <w:shd w:val="clear" w:color="auto" w:fill="auto"/>
          </w:tcPr>
          <w:p w:rsidR="00CA3EC5" w:rsidRPr="00F82E6C" w:rsidRDefault="00CA3EC5" w:rsidP="00F6335F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F82E6C">
              <w:rPr>
                <w:rFonts w:ascii="Times New Roman" w:hAnsi="Times New Roman"/>
              </w:rPr>
              <w:t xml:space="preserve"> 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канализационные очистные сооружения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западнее площадки № 1 за границей села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канализационные очистные сооружения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западнее площадки № 2 за границей села</w:t>
            </w:r>
            <w:r w:rsidRPr="00F82E6C">
              <w:rPr>
                <w:rFonts w:ascii="Times New Roman" w:hAnsi="Times New Roman"/>
              </w:rPr>
              <w:t>;</w:t>
            </w: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  <w:b/>
              </w:rPr>
            </w:pPr>
            <w:r w:rsidRPr="00DA61FB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DA61FB">
              <w:rPr>
                <w:rFonts w:ascii="Times New Roman" w:hAnsi="Times New Roman"/>
                <w:b/>
              </w:rPr>
              <w:t xml:space="preserve"> сельскохозяйственно</w:t>
            </w:r>
            <w:r w:rsidRPr="00F82E6C">
              <w:rPr>
                <w:rFonts w:ascii="Times New Roman" w:hAnsi="Times New Roman"/>
                <w:b/>
              </w:rPr>
              <w:t>го использования</w:t>
            </w:r>
          </w:p>
        </w:tc>
        <w:tc>
          <w:tcPr>
            <w:tcW w:w="2523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129,8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auto"/>
          </w:tcPr>
          <w:p w:rsidR="00CA3EC5" w:rsidRPr="00DA61FB" w:rsidRDefault="00CA3EC5" w:rsidP="00F63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6"/>
            <w:shd w:val="clear" w:color="auto" w:fill="auto"/>
          </w:tcPr>
          <w:p w:rsidR="00CA3EC5" w:rsidRPr="00F82E6C" w:rsidRDefault="00CA3EC5" w:rsidP="00F6335F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F82E6C">
              <w:rPr>
                <w:rFonts w:ascii="Times New Roman" w:hAnsi="Times New Roman"/>
              </w:rPr>
              <w:t xml:space="preserve"> 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водонапорная башня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севернее площадки № 1 за границей поселка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водонапорная башня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северо-восточнее площадки № 1 за границей поселка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водонапорная башня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юго-восточнее площадки № 2 за границей поселка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западнее площадки № 1 за границей поселка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2E6C">
              <w:rPr>
                <w:rFonts w:ascii="Times New Roman" w:hAnsi="Times New Roman"/>
              </w:rPr>
              <w:t xml:space="preserve">- комплектные трансформаторные подстанции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западнее площадки № 1 за границей поселка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площадка № 2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комплектные трансформаторные подстанции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юго-западнее площадки № 2 за границей поселка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комплектные трансформаторные подстанции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севернее площадки № 2 за границей поселка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2E6C">
              <w:rPr>
                <w:rFonts w:ascii="Times New Roman" w:hAnsi="Times New Roman"/>
              </w:rPr>
              <w:t xml:space="preserve">- комплектные трансформаторные подстанции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севернее площадки № 1 за границей поселка</w:t>
            </w:r>
            <w:r w:rsidRPr="00F82E6C">
              <w:rPr>
                <w:rFonts w:ascii="Times New Roman" w:hAnsi="Times New Roman"/>
              </w:rPr>
              <w:t>;</w:t>
            </w:r>
          </w:p>
          <w:p w:rsidR="00CA3EC5" w:rsidRPr="00F82E6C" w:rsidRDefault="00CA3EC5" w:rsidP="00F6335F">
            <w:pPr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шкафной газорегуляторный пункт (ШГРП)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поселке </w:t>
            </w:r>
            <w:r w:rsidRPr="00F82E6C">
              <w:rPr>
                <w:rFonts w:ascii="Times New Roman" w:hAnsi="Times New Roman"/>
              </w:rPr>
              <w:t>Просвет, площадка № 2.</w:t>
            </w: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E6E6E6"/>
          </w:tcPr>
          <w:p w:rsidR="00CA3EC5" w:rsidRPr="00DA61FB" w:rsidRDefault="00CA3EC5" w:rsidP="00F6335F">
            <w:pPr>
              <w:jc w:val="center"/>
              <w:rPr>
                <w:rFonts w:ascii="Times New Roman" w:hAnsi="Times New Roman"/>
                <w:b/>
              </w:rPr>
            </w:pPr>
            <w:r w:rsidRPr="00DA61FB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DA61FB">
              <w:rPr>
                <w:rFonts w:ascii="Times New Roman" w:hAnsi="Times New Roman"/>
                <w:b/>
              </w:rPr>
              <w:t xml:space="preserve"> рекреационного </w:t>
            </w:r>
            <w:r w:rsidRPr="00DA61FB">
              <w:rPr>
                <w:rFonts w:ascii="Times New Roman" w:hAnsi="Times New Roman"/>
                <w:b/>
              </w:rPr>
              <w:lastRenderedPageBreak/>
              <w:t>назначения</w:t>
            </w:r>
          </w:p>
        </w:tc>
        <w:tc>
          <w:tcPr>
            <w:tcW w:w="2523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1</w:t>
            </w:r>
            <w:r w:rsidRPr="00DA61FB">
              <w:rPr>
                <w:rFonts w:ascii="Times New Roman" w:hAnsi="Times New Roman"/>
              </w:rPr>
              <w:t>,</w:t>
            </w:r>
            <w:r w:rsidRPr="00F82E6C">
              <w:rPr>
                <w:rFonts w:ascii="Times New Roman" w:hAnsi="Times New Roman"/>
              </w:rPr>
              <w:t>4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auto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6"/>
            <w:shd w:val="clear" w:color="auto" w:fill="auto"/>
          </w:tcPr>
          <w:p w:rsidR="00CA3EC5" w:rsidRPr="00F82E6C" w:rsidRDefault="00CA3EC5" w:rsidP="00F6335F">
            <w:pPr>
              <w:jc w:val="both"/>
              <w:rPr>
                <w:rFonts w:ascii="Times New Roman" w:hAnsi="Times New Roman"/>
                <w:b/>
              </w:rPr>
            </w:pPr>
            <w:r w:rsidRPr="00DA61FB">
              <w:rPr>
                <w:rFonts w:ascii="Times New Roman" w:hAnsi="Times New Roman"/>
                <w:b/>
              </w:rPr>
              <w:t xml:space="preserve">объекты местного значения </w:t>
            </w:r>
            <w:r w:rsidRPr="00F82E6C">
              <w:rPr>
                <w:rFonts w:ascii="Times New Roman" w:hAnsi="Times New Roman"/>
                <w:b/>
              </w:rPr>
              <w:t>сельского поселения:</w:t>
            </w:r>
          </w:p>
          <w:p w:rsidR="00CA3EC5" w:rsidRPr="00F82E6C" w:rsidRDefault="00CA3EC5" w:rsidP="00F6335F">
            <w:pPr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 xml:space="preserve">- физкультурно-оздоровительный комплекс </w:t>
            </w:r>
            <w:r w:rsidRPr="00F82E6C">
              <w:rPr>
                <w:rFonts w:ascii="Times New Roman" w:hAnsi="Times New Roman"/>
                <w:color w:val="000000"/>
                <w:shd w:val="clear" w:color="auto" w:fill="FFFFFF"/>
              </w:rPr>
              <w:t>в поселке Просвет, площадка № 1.</w:t>
            </w:r>
          </w:p>
        </w:tc>
      </w:tr>
      <w:tr w:rsidR="00CA3EC5" w:rsidRPr="00F82E6C" w:rsidTr="00CA3EC5">
        <w:trPr>
          <w:trHeight w:val="352"/>
        </w:trPr>
        <w:tc>
          <w:tcPr>
            <w:tcW w:w="3260" w:type="dxa"/>
            <w:shd w:val="clear" w:color="auto" w:fill="D9D9D9" w:themeFill="background1" w:themeFillShade="D9"/>
          </w:tcPr>
          <w:p w:rsidR="00CA3EC5" w:rsidRPr="00CA3EC5" w:rsidRDefault="00CA3EC5" w:rsidP="00F633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3EC5">
              <w:rPr>
                <w:rFonts w:ascii="Times New Roman" w:hAnsi="Times New Roman"/>
                <w:b/>
                <w:bCs/>
              </w:rPr>
              <w:t>Зоны лесов</w:t>
            </w:r>
          </w:p>
        </w:tc>
        <w:tc>
          <w:tcPr>
            <w:tcW w:w="2581" w:type="dxa"/>
            <w:gridSpan w:val="2"/>
            <w:shd w:val="clear" w:color="auto" w:fill="D9D9D9" w:themeFill="background1" w:themeFillShade="D9"/>
          </w:tcPr>
          <w:p w:rsidR="00CA3EC5" w:rsidRPr="00DA61FB" w:rsidRDefault="00CA3EC5" w:rsidP="00F6335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A3EC5" w:rsidRPr="00CA3EC5" w:rsidRDefault="00CA3EC5" w:rsidP="00CA3EC5">
            <w:pPr>
              <w:jc w:val="center"/>
              <w:rPr>
                <w:rFonts w:ascii="Times New Roman" w:hAnsi="Times New Roman"/>
                <w:bCs/>
              </w:rPr>
            </w:pPr>
            <w:r w:rsidRPr="00CA3EC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CA3EC5" w:rsidRPr="00CA3EC5" w:rsidRDefault="00CA3EC5" w:rsidP="00CA3EC5">
            <w:pPr>
              <w:jc w:val="center"/>
              <w:rPr>
                <w:rFonts w:ascii="Times New Roman" w:hAnsi="Times New Roman"/>
                <w:bCs/>
              </w:rPr>
            </w:pPr>
            <w:r w:rsidRPr="00CA3EC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:rsidR="00CA3EC5" w:rsidRPr="00CA3EC5" w:rsidRDefault="00CA3EC5" w:rsidP="00CA3EC5">
            <w:pPr>
              <w:jc w:val="center"/>
              <w:rPr>
                <w:rFonts w:ascii="Times New Roman" w:hAnsi="Times New Roman"/>
                <w:bCs/>
              </w:rPr>
            </w:pPr>
            <w:r w:rsidRPr="00CA3EC5">
              <w:rPr>
                <w:rFonts w:ascii="Times New Roman" w:hAnsi="Times New Roman"/>
                <w:bCs/>
              </w:rPr>
              <w:t>-</w:t>
            </w: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auto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6"/>
            <w:shd w:val="clear" w:color="auto" w:fill="auto"/>
          </w:tcPr>
          <w:p w:rsidR="00CA3EC5" w:rsidRPr="00DA61FB" w:rsidRDefault="00CA3EC5" w:rsidP="00F6335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E6E6E6"/>
          </w:tcPr>
          <w:p w:rsidR="00CA3EC5" w:rsidRPr="00DA61FB" w:rsidRDefault="00CA3EC5" w:rsidP="00F6335F">
            <w:pPr>
              <w:jc w:val="center"/>
              <w:rPr>
                <w:rFonts w:ascii="Times New Roman" w:hAnsi="Times New Roman"/>
                <w:b/>
              </w:rPr>
            </w:pPr>
            <w:r w:rsidRPr="00DA61FB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DA61FB">
              <w:rPr>
                <w:rFonts w:ascii="Times New Roman" w:hAnsi="Times New Roman"/>
                <w:b/>
              </w:rPr>
              <w:t xml:space="preserve"> специального назначения</w:t>
            </w:r>
          </w:p>
        </w:tc>
        <w:tc>
          <w:tcPr>
            <w:tcW w:w="2523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3,2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</w:t>
            </w:r>
          </w:p>
        </w:tc>
      </w:tr>
      <w:tr w:rsidR="00CA3EC5" w:rsidRPr="00F82E6C" w:rsidTr="00F6335F">
        <w:trPr>
          <w:trHeight w:val="352"/>
        </w:trPr>
        <w:tc>
          <w:tcPr>
            <w:tcW w:w="3260" w:type="dxa"/>
            <w:shd w:val="clear" w:color="auto" w:fill="auto"/>
          </w:tcPr>
          <w:p w:rsidR="00CA3EC5" w:rsidRPr="00F82E6C" w:rsidRDefault="00CA3EC5" w:rsidP="00F63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6"/>
            <w:shd w:val="clear" w:color="auto" w:fill="auto"/>
          </w:tcPr>
          <w:p w:rsidR="00CA3EC5" w:rsidRPr="00F82E6C" w:rsidRDefault="00CA3EC5" w:rsidP="00F6335F">
            <w:pPr>
              <w:jc w:val="both"/>
              <w:rPr>
                <w:rFonts w:ascii="Times New Roman" w:hAnsi="Times New Roman"/>
                <w:b/>
              </w:rPr>
            </w:pPr>
            <w:r w:rsidRPr="00DA61FB">
              <w:rPr>
                <w:rFonts w:ascii="Times New Roman" w:hAnsi="Times New Roman"/>
                <w:b/>
              </w:rPr>
              <w:t>объекты местного значен</w:t>
            </w:r>
            <w:r w:rsidRPr="00F82E6C">
              <w:rPr>
                <w:rFonts w:ascii="Times New Roman" w:hAnsi="Times New Roman"/>
                <w:b/>
              </w:rPr>
              <w:t>ия сельского поселения:</w:t>
            </w:r>
          </w:p>
          <w:p w:rsidR="00CA3EC5" w:rsidRDefault="00CA3EC5" w:rsidP="00F6335F">
            <w:pPr>
              <w:jc w:val="both"/>
              <w:rPr>
                <w:rFonts w:ascii="Times New Roman" w:hAnsi="Times New Roman"/>
              </w:rPr>
            </w:pPr>
            <w:r w:rsidRPr="00F82E6C">
              <w:rPr>
                <w:rFonts w:ascii="Times New Roman" w:hAnsi="Times New Roman"/>
              </w:rPr>
              <w:t>- кладбище на западе за границей поселка Просвет</w:t>
            </w:r>
            <w:r w:rsidR="00326DFA">
              <w:rPr>
                <w:rFonts w:ascii="Times New Roman" w:hAnsi="Times New Roman"/>
              </w:rPr>
              <w:t>;</w:t>
            </w:r>
          </w:p>
          <w:p w:rsidR="00326DFA" w:rsidRPr="00F82E6C" w:rsidRDefault="00326DFA" w:rsidP="00F633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кладбище в северо-западной части поселка Пахарь.</w:t>
            </w:r>
          </w:p>
        </w:tc>
      </w:tr>
    </w:tbl>
    <w:p w:rsidR="00CA3EC5" w:rsidRDefault="00CA3EC5" w:rsidP="004768C8">
      <w:pPr>
        <w:autoSpaceDE w:val="0"/>
        <w:autoSpaceDN w:val="0"/>
        <w:adjustRightInd w:val="0"/>
      </w:pPr>
    </w:p>
    <w:p w:rsidR="000C50D1" w:rsidRDefault="000C50D1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0C50D1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C50D1" w:rsidRPr="00D158E0" w:rsidRDefault="000C50D1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0C50D1" w:rsidRPr="00D158E0" w:rsidSect="000C50D1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8D" w:rsidRDefault="00B5268D">
      <w:r>
        <w:separator/>
      </w:r>
    </w:p>
  </w:endnote>
  <w:endnote w:type="continuationSeparator" w:id="0">
    <w:p w:rsidR="00B5268D" w:rsidRDefault="00B5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5F" w:rsidRDefault="00F6335F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F6335F" w:rsidRDefault="00F6335F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5F" w:rsidRPr="003F76CA" w:rsidRDefault="00F6335F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326DFA">
      <w:rPr>
        <w:rStyle w:val="af0"/>
        <w:rFonts w:ascii="Times New Roman" w:hAnsi="Times New Roman"/>
        <w:noProof/>
      </w:rPr>
      <w:t>19</w:t>
    </w:r>
    <w:r w:rsidRPr="003F76CA">
      <w:rPr>
        <w:rStyle w:val="af0"/>
        <w:rFonts w:ascii="Times New Roman" w:hAnsi="Times New Roman"/>
      </w:rPr>
      <w:fldChar w:fldCharType="end"/>
    </w:r>
  </w:p>
  <w:p w:rsidR="00F6335F" w:rsidRDefault="00F6335F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8D" w:rsidRDefault="00B5268D">
      <w:r>
        <w:separator/>
      </w:r>
    </w:p>
  </w:footnote>
  <w:footnote w:type="continuationSeparator" w:id="0">
    <w:p w:rsidR="00B5268D" w:rsidRDefault="00B5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5F" w:rsidRPr="003E70C2" w:rsidRDefault="00F6335F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5F" w:rsidRDefault="00F6335F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4C4E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50D1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40DE"/>
    <w:rsid w:val="00136D3C"/>
    <w:rsid w:val="001414C6"/>
    <w:rsid w:val="001415E0"/>
    <w:rsid w:val="00143B0F"/>
    <w:rsid w:val="00144350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1747E"/>
    <w:rsid w:val="00323166"/>
    <w:rsid w:val="00323608"/>
    <w:rsid w:val="0032364E"/>
    <w:rsid w:val="00326DFA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275B"/>
    <w:rsid w:val="003D6BAC"/>
    <w:rsid w:val="003D73A3"/>
    <w:rsid w:val="003E18C7"/>
    <w:rsid w:val="003E2E12"/>
    <w:rsid w:val="003E5EC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63B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4FD0"/>
    <w:rsid w:val="00936B24"/>
    <w:rsid w:val="00940C62"/>
    <w:rsid w:val="0094379A"/>
    <w:rsid w:val="00944C0D"/>
    <w:rsid w:val="0094772A"/>
    <w:rsid w:val="009578B9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6A21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1BDF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68D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49B1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3EC5"/>
    <w:rsid w:val="00CA544F"/>
    <w:rsid w:val="00CA67BC"/>
    <w:rsid w:val="00CB00CB"/>
    <w:rsid w:val="00CB04F7"/>
    <w:rsid w:val="00CB349C"/>
    <w:rsid w:val="00CC27DD"/>
    <w:rsid w:val="00CC45F1"/>
    <w:rsid w:val="00CC4B68"/>
    <w:rsid w:val="00CC5856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17991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55101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3001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4D80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335F"/>
    <w:rsid w:val="00F6443D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2F54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footnote text"/>
    <w:basedOn w:val="a0"/>
    <w:link w:val="afa"/>
    <w:rsid w:val="00CC5856"/>
    <w:rPr>
      <w:sz w:val="20"/>
      <w:szCs w:val="20"/>
    </w:rPr>
  </w:style>
  <w:style w:type="character" w:customStyle="1" w:styleId="afa">
    <w:name w:val="Текст сноски Знак"/>
    <w:basedOn w:val="a2"/>
    <w:link w:val="af9"/>
    <w:rsid w:val="00CC5856"/>
    <w:rPr>
      <w:rFonts w:ascii="Cambria" w:eastAsia="MS Mincho" w:hAnsi="Cambria"/>
    </w:rPr>
  </w:style>
  <w:style w:type="character" w:styleId="afb">
    <w:name w:val="footnote reference"/>
    <w:basedOn w:val="a2"/>
    <w:rsid w:val="00CC58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footnote text"/>
    <w:basedOn w:val="a0"/>
    <w:link w:val="afa"/>
    <w:rsid w:val="00CC5856"/>
    <w:rPr>
      <w:sz w:val="20"/>
      <w:szCs w:val="20"/>
    </w:rPr>
  </w:style>
  <w:style w:type="character" w:customStyle="1" w:styleId="afa">
    <w:name w:val="Текст сноски Знак"/>
    <w:basedOn w:val="a2"/>
    <w:link w:val="af9"/>
    <w:rsid w:val="00CC5856"/>
    <w:rPr>
      <w:rFonts w:ascii="Cambria" w:eastAsia="MS Mincho" w:hAnsi="Cambria"/>
    </w:rPr>
  </w:style>
  <w:style w:type="character" w:styleId="afb">
    <w:name w:val="footnote reference"/>
    <w:basedOn w:val="a2"/>
    <w:rsid w:val="00CC5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3895</Words>
  <Characters>28275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user5</cp:lastModifiedBy>
  <cp:revision>14</cp:revision>
  <cp:lastPrinted>2019-09-13T13:30:00Z</cp:lastPrinted>
  <dcterms:created xsi:type="dcterms:W3CDTF">2019-09-10T07:35:00Z</dcterms:created>
  <dcterms:modified xsi:type="dcterms:W3CDTF">2019-12-26T10:52:00Z</dcterms:modified>
</cp:coreProperties>
</file>